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32" w:rsidRPr="00AA4F32" w:rsidRDefault="00AA4F32" w:rsidP="00AA4F32">
      <w:pPr>
        <w:spacing w:before="48"/>
        <w:ind w:firstLineChars="100" w:firstLine="229"/>
        <w:jc w:val="center"/>
        <w:rPr>
          <w:rFonts w:ascii="Arial" w:hAnsi="Arial" w:cs="Arial"/>
          <w:b/>
          <w:spacing w:val="-1"/>
          <w:sz w:val="23"/>
          <w:szCs w:val="23"/>
        </w:rPr>
      </w:pPr>
      <w:r w:rsidRPr="00AA4F32">
        <w:rPr>
          <w:rFonts w:ascii="Arial" w:hAnsi="Arial" w:cs="Arial"/>
          <w:b/>
          <w:bCs/>
          <w:spacing w:val="-1"/>
          <w:sz w:val="23"/>
          <w:szCs w:val="23"/>
        </w:rPr>
        <w:t xml:space="preserve">Evasion of autophagy mediated by </w:t>
      </w:r>
      <w:r w:rsidRPr="00AA4F32">
        <w:rPr>
          <w:rFonts w:ascii="Arial" w:hAnsi="Arial" w:cs="Arial"/>
          <w:b/>
          <w:bCs/>
          <w:i/>
          <w:iCs/>
          <w:spacing w:val="-1"/>
          <w:sz w:val="23"/>
          <w:szCs w:val="23"/>
        </w:rPr>
        <w:t>Rickettsia</w:t>
      </w:r>
      <w:r w:rsidRPr="00AA4F32">
        <w:rPr>
          <w:rFonts w:ascii="Arial" w:hAnsi="Arial" w:cs="Arial"/>
          <w:b/>
          <w:bCs/>
          <w:spacing w:val="-1"/>
          <w:sz w:val="23"/>
          <w:szCs w:val="23"/>
        </w:rPr>
        <w:t xml:space="preserve"> surface protein OmpB is critical for virulence</w:t>
      </w:r>
    </w:p>
    <w:p w:rsidR="00AA4F32" w:rsidRPr="00AA4F32" w:rsidRDefault="00AA4F32" w:rsidP="00AA4F32">
      <w:pPr>
        <w:tabs>
          <w:tab w:val="left" w:pos="1642"/>
          <w:tab w:val="left" w:pos="3960"/>
        </w:tabs>
        <w:spacing w:line="336" w:lineRule="auto"/>
        <w:ind w:right="124"/>
        <w:jc w:val="center"/>
        <w:rPr>
          <w:rFonts w:ascii="Arial" w:hAnsi="Arial" w:cs="Arial"/>
          <w:spacing w:val="-1"/>
          <w:sz w:val="16"/>
        </w:rPr>
      </w:pPr>
      <w:r w:rsidRPr="00AA4F32">
        <w:rPr>
          <w:rFonts w:ascii="Arial" w:hAnsi="Arial" w:cs="Arial"/>
          <w:spacing w:val="-1"/>
          <w:sz w:val="16"/>
        </w:rPr>
        <w:t xml:space="preserve">Patrik Engström, Thomas P. Burke, Gabriel Mitchell, Nadia Ingabire, Kevin G. Mark, Guillaume Golovkine, Anthony T. Iavarone, Michael Rape, Jeffery S. Cox &amp; Matthew D. Welch </w:t>
      </w:r>
    </w:p>
    <w:p w:rsidR="00AA4F32" w:rsidRPr="00AA4F32" w:rsidRDefault="00AA4F32" w:rsidP="00AA4F32">
      <w:pPr>
        <w:tabs>
          <w:tab w:val="left" w:pos="1642"/>
          <w:tab w:val="left" w:pos="3960"/>
        </w:tabs>
        <w:spacing w:line="320" w:lineRule="exact"/>
        <w:ind w:left="120" w:right="124"/>
        <w:rPr>
          <w:rFonts w:ascii="Arial" w:hAnsi="Arial" w:cs="Arial"/>
          <w:i/>
          <w:spacing w:val="-1"/>
          <w:sz w:val="21"/>
        </w:rPr>
      </w:pPr>
      <w:r>
        <w:rPr>
          <w:rFonts w:ascii="Arial" w:hAnsi="Arial" w:cs="Arial"/>
          <w:b/>
          <w:bCs/>
          <w:i/>
          <w:iCs/>
          <w:spacing w:val="-1"/>
          <w:sz w:val="21"/>
          <w:lang w:val="fr-FR"/>
        </w:rPr>
        <w:tab/>
      </w:r>
      <w:r w:rsidRPr="00AA4F32">
        <w:rPr>
          <w:rFonts w:ascii="Arial" w:hAnsi="Arial" w:cs="Arial"/>
          <w:b/>
          <w:bCs/>
          <w:i/>
          <w:iCs/>
          <w:spacing w:val="-1"/>
          <w:sz w:val="21"/>
          <w:lang w:val="fr-FR"/>
        </w:rPr>
        <w:t xml:space="preserve">Nature Microbiology </w:t>
      </w:r>
      <w:r w:rsidRPr="00AA4F32">
        <w:rPr>
          <w:rFonts w:ascii="Arial" w:hAnsi="Arial" w:cs="Arial"/>
          <w:iCs/>
          <w:spacing w:val="-1"/>
          <w:sz w:val="21"/>
          <w:lang w:val="fr-FR"/>
        </w:rPr>
        <w:t>volume 4, pages2538–2551(2019)</w:t>
      </w:r>
    </w:p>
    <w:p w:rsidR="00181F26" w:rsidRPr="00080229" w:rsidRDefault="00EE459A" w:rsidP="00DA1388">
      <w:pPr>
        <w:tabs>
          <w:tab w:val="left" w:pos="1642"/>
          <w:tab w:val="left" w:pos="3960"/>
        </w:tabs>
        <w:spacing w:line="320" w:lineRule="exact"/>
        <w:ind w:left="120" w:right="124"/>
        <w:rPr>
          <w:rFonts w:ascii="Arial" w:eastAsia="Arial" w:hAnsi="Arial" w:cs="Arial"/>
        </w:rPr>
      </w:pPr>
      <w:r w:rsidRPr="00080229">
        <w:rPr>
          <w:rFonts w:ascii="Arial" w:hAnsi="Arial" w:cs="Arial"/>
          <w:b/>
          <w:spacing w:val="-1"/>
          <w:sz w:val="23"/>
        </w:rPr>
        <w:t>Presenter:</w:t>
      </w:r>
      <w:r w:rsidRPr="00080229">
        <w:rPr>
          <w:rFonts w:ascii="Arial" w:hAnsi="Arial" w:cs="Arial"/>
          <w:b/>
          <w:spacing w:val="-2"/>
          <w:sz w:val="23"/>
        </w:rPr>
        <w:t xml:space="preserve"> </w:t>
      </w:r>
      <w:r w:rsidRPr="00080229">
        <w:rPr>
          <w:rFonts w:ascii="Arial" w:hAnsi="Arial" w:cs="Arial"/>
          <w:spacing w:val="-1"/>
          <w:sz w:val="23"/>
        </w:rPr>
        <w:t>Bing-Chang</w:t>
      </w:r>
      <w:r w:rsidRPr="00080229">
        <w:rPr>
          <w:rFonts w:ascii="Arial" w:hAnsi="Arial" w:cs="Arial"/>
          <w:spacing w:val="3"/>
          <w:sz w:val="23"/>
        </w:rPr>
        <w:t xml:space="preserve"> </w:t>
      </w:r>
      <w:r w:rsidRPr="00080229">
        <w:rPr>
          <w:rFonts w:ascii="Arial" w:hAnsi="Arial" w:cs="Arial"/>
          <w:spacing w:val="-2"/>
          <w:sz w:val="23"/>
        </w:rPr>
        <w:t>Yang</w:t>
      </w:r>
      <w:r w:rsidRPr="00080229">
        <w:rPr>
          <w:rFonts w:ascii="Arial" w:hAnsi="Arial" w:cs="Arial"/>
          <w:spacing w:val="-2"/>
          <w:sz w:val="23"/>
        </w:rPr>
        <w:tab/>
      </w:r>
      <w:r w:rsidRPr="00080229">
        <w:rPr>
          <w:rFonts w:ascii="Arial" w:hAnsi="Arial" w:cs="Arial"/>
          <w:b/>
          <w:spacing w:val="-1"/>
          <w:sz w:val="23"/>
        </w:rPr>
        <w:t xml:space="preserve">Date/Time: </w:t>
      </w:r>
      <w:r w:rsidRPr="00080229">
        <w:rPr>
          <w:rFonts w:ascii="Arial" w:hAnsi="Arial" w:cs="Arial"/>
          <w:spacing w:val="-1"/>
          <w:sz w:val="23"/>
        </w:rPr>
        <w:t>20</w:t>
      </w:r>
      <w:r w:rsidR="009A0B12">
        <w:rPr>
          <w:rFonts w:ascii="Arial" w:hAnsi="Arial" w:cs="Arial" w:hint="eastAsia"/>
          <w:spacing w:val="-1"/>
          <w:sz w:val="23"/>
          <w:lang w:eastAsia="zh-TW"/>
        </w:rPr>
        <w:t>20</w:t>
      </w:r>
      <w:r w:rsidR="00835963" w:rsidRPr="00080229">
        <w:rPr>
          <w:rFonts w:ascii="Arial" w:hAnsi="Arial" w:cs="Arial"/>
          <w:spacing w:val="-1"/>
          <w:sz w:val="23"/>
        </w:rPr>
        <w:t>/</w:t>
      </w:r>
      <w:r w:rsidR="009A0B12">
        <w:rPr>
          <w:rFonts w:ascii="Arial" w:hAnsi="Arial" w:cs="Arial" w:hint="eastAsia"/>
          <w:spacing w:val="-1"/>
          <w:sz w:val="23"/>
          <w:lang w:eastAsia="zh-TW"/>
        </w:rPr>
        <w:t>03</w:t>
      </w:r>
      <w:r w:rsidR="00FC2AFC">
        <w:rPr>
          <w:rFonts w:ascii="Arial" w:hAnsi="Arial" w:cs="Arial" w:hint="eastAsia"/>
          <w:spacing w:val="-1"/>
          <w:sz w:val="23"/>
          <w:lang w:eastAsia="zh-TW"/>
        </w:rPr>
        <w:t>/0</w:t>
      </w:r>
      <w:r w:rsidR="009A0B12">
        <w:rPr>
          <w:rFonts w:ascii="Arial" w:hAnsi="Arial" w:cs="Arial" w:hint="eastAsia"/>
          <w:spacing w:val="-1"/>
          <w:sz w:val="23"/>
          <w:lang w:eastAsia="zh-TW"/>
        </w:rPr>
        <w:t>5</w:t>
      </w:r>
      <w:r w:rsidRPr="00080229">
        <w:rPr>
          <w:rFonts w:ascii="Arial" w:hAnsi="Arial" w:cs="Arial"/>
          <w:spacing w:val="2"/>
          <w:sz w:val="23"/>
        </w:rPr>
        <w:t xml:space="preserve"> </w:t>
      </w:r>
      <w:r w:rsidRPr="00080229">
        <w:rPr>
          <w:rFonts w:ascii="Arial" w:hAnsi="Arial" w:cs="Arial"/>
          <w:spacing w:val="-1"/>
          <w:sz w:val="23"/>
        </w:rPr>
        <w:t>1</w:t>
      </w:r>
      <w:r w:rsidR="009A0B12">
        <w:rPr>
          <w:rFonts w:ascii="Arial" w:hAnsi="Arial" w:cs="Arial" w:hint="eastAsia"/>
          <w:spacing w:val="-1"/>
          <w:sz w:val="23"/>
          <w:lang w:eastAsia="zh-TW"/>
        </w:rPr>
        <w:t>7</w:t>
      </w:r>
      <w:r w:rsidRPr="00080229">
        <w:rPr>
          <w:rFonts w:ascii="Arial" w:hAnsi="Arial" w:cs="Arial"/>
          <w:spacing w:val="-1"/>
          <w:sz w:val="23"/>
        </w:rPr>
        <w:t>:10-1</w:t>
      </w:r>
      <w:r w:rsidR="009A0B12">
        <w:rPr>
          <w:rFonts w:ascii="Arial" w:hAnsi="Arial" w:cs="Arial" w:hint="eastAsia"/>
          <w:spacing w:val="-1"/>
          <w:sz w:val="23"/>
          <w:lang w:eastAsia="zh-TW"/>
        </w:rPr>
        <w:t>8</w:t>
      </w:r>
      <w:r w:rsidRPr="00080229">
        <w:rPr>
          <w:rFonts w:ascii="Arial" w:hAnsi="Arial" w:cs="Arial"/>
          <w:spacing w:val="-1"/>
          <w:sz w:val="23"/>
        </w:rPr>
        <w:t>:00</w:t>
      </w:r>
      <w:r w:rsidRPr="00080229">
        <w:rPr>
          <w:rFonts w:ascii="Arial" w:hAnsi="Arial" w:cs="Arial"/>
          <w:spacing w:val="65"/>
          <w:sz w:val="23"/>
        </w:rPr>
        <w:t xml:space="preserve"> </w:t>
      </w:r>
      <w:r w:rsidRPr="00080229">
        <w:rPr>
          <w:rFonts w:ascii="Arial" w:hAnsi="Arial" w:cs="Arial"/>
          <w:b/>
          <w:spacing w:val="-1"/>
          <w:sz w:val="23"/>
        </w:rPr>
        <w:t xml:space="preserve">Commentator: </w:t>
      </w:r>
      <w:r w:rsidR="009A0B12" w:rsidRPr="009A0B12">
        <w:rPr>
          <w:rFonts w:ascii="Arial" w:hAnsi="Arial" w:cs="Arial"/>
          <w:sz w:val="23"/>
        </w:rPr>
        <w:t>Jenn-Wei Chen</w:t>
      </w:r>
      <w:r w:rsidRPr="00080229">
        <w:rPr>
          <w:rFonts w:ascii="Arial" w:hAnsi="Arial" w:cs="Arial"/>
          <w:spacing w:val="-1"/>
          <w:sz w:val="23"/>
        </w:rPr>
        <w:tab/>
      </w:r>
      <w:r w:rsidRPr="00080229">
        <w:rPr>
          <w:rFonts w:ascii="Arial" w:hAnsi="Arial" w:cs="Arial"/>
          <w:b/>
          <w:spacing w:val="-1"/>
          <w:sz w:val="23"/>
        </w:rPr>
        <w:t xml:space="preserve">Location: </w:t>
      </w:r>
      <w:r w:rsidRPr="00080229">
        <w:rPr>
          <w:rFonts w:ascii="Arial" w:hAnsi="Arial" w:cs="Arial"/>
          <w:spacing w:val="-1"/>
          <w:sz w:val="23"/>
        </w:rPr>
        <w:t>Room</w:t>
      </w:r>
      <w:r w:rsidRPr="00080229">
        <w:rPr>
          <w:rFonts w:ascii="Arial" w:hAnsi="Arial" w:cs="Arial"/>
          <w:spacing w:val="2"/>
          <w:sz w:val="23"/>
        </w:rPr>
        <w:t xml:space="preserve"> </w:t>
      </w:r>
      <w:r w:rsidRPr="00080229">
        <w:rPr>
          <w:rFonts w:ascii="Arial" w:hAnsi="Arial" w:cs="Arial"/>
          <w:spacing w:val="-1"/>
          <w:sz w:val="23"/>
        </w:rPr>
        <w:t>601,</w:t>
      </w:r>
      <w:r w:rsidRPr="00080229">
        <w:rPr>
          <w:rFonts w:ascii="Arial" w:hAnsi="Arial" w:cs="Arial"/>
          <w:spacing w:val="-2"/>
          <w:sz w:val="23"/>
        </w:rPr>
        <w:t xml:space="preserve"> Med</w:t>
      </w:r>
      <w:r w:rsidRPr="00080229">
        <w:rPr>
          <w:rFonts w:ascii="Arial" w:hAnsi="Arial" w:cs="Arial"/>
          <w:spacing w:val="-1"/>
          <w:sz w:val="23"/>
        </w:rPr>
        <w:t xml:space="preserve"> College Building</w:t>
      </w:r>
      <w:r w:rsidRPr="00080229">
        <w:rPr>
          <w:rFonts w:ascii="Arial" w:hAnsi="Arial" w:cs="Arial"/>
          <w:sz w:val="23"/>
        </w:rPr>
        <w:t xml:space="preserve"> </w:t>
      </w:r>
      <w:r w:rsidRPr="00080229">
        <w:rPr>
          <w:rFonts w:ascii="Arial" w:hAnsi="Arial" w:cs="Arial"/>
          <w:b/>
          <w:spacing w:val="-1"/>
          <w:u w:val="single"/>
        </w:rPr>
        <w:t>Background:</w:t>
      </w:r>
    </w:p>
    <w:p w:rsidR="00181F26" w:rsidRPr="00080229" w:rsidRDefault="00FA2E7F" w:rsidP="007E5BEB">
      <w:pPr>
        <w:pStyle w:val="a3"/>
        <w:ind w:firstLine="600"/>
        <w:jc w:val="both"/>
        <w:rPr>
          <w:b/>
          <w:bCs/>
        </w:rPr>
      </w:pPr>
      <w:r w:rsidRPr="001D08C9">
        <w:t xml:space="preserve">The intracellular life cycle of </w:t>
      </w:r>
      <w:r w:rsidRPr="001D08C9">
        <w:rPr>
          <w:i/>
          <w:iCs/>
        </w:rPr>
        <w:t>Rickettsia</w:t>
      </w:r>
      <w:r w:rsidRPr="001D08C9">
        <w:t xml:space="preserve"> begins when bacteria adhere to and invade host cells. They subsequently escape the</w:t>
      </w:r>
      <w:r w:rsidRPr="001D08C9">
        <w:rPr>
          <w:rFonts w:eastAsiaTheme="minorEastAsia"/>
          <w:b/>
          <w:bCs/>
          <w:lang w:eastAsia="zh-TW"/>
        </w:rPr>
        <w:t xml:space="preserve"> </w:t>
      </w:r>
      <w:r w:rsidRPr="001D08C9">
        <w:t>primary vacuole into the cytosol, where they replicate and must</w:t>
      </w:r>
      <w:r w:rsidRPr="001D08C9">
        <w:rPr>
          <w:rFonts w:eastAsiaTheme="minorEastAsia"/>
          <w:b/>
          <w:bCs/>
          <w:lang w:eastAsia="zh-TW"/>
        </w:rPr>
        <w:t xml:space="preserve"> </w:t>
      </w:r>
      <w:r w:rsidRPr="001D08C9">
        <w:t>evade antimicrobial autophagy, a process that removes intracellular</w:t>
      </w:r>
      <w:r w:rsidR="007E5BEB">
        <w:t xml:space="preserve"> </w:t>
      </w:r>
      <w:r w:rsidRPr="001D08C9">
        <w:t>pathogens similarly to damaged organelles such as mitochondria</w:t>
      </w:r>
      <w:r w:rsidRPr="001D08C9">
        <w:rPr>
          <w:b/>
          <w:bCs/>
          <w:lang w:eastAsia="zh-TW"/>
        </w:rPr>
        <w:t>.</w:t>
      </w:r>
      <w:r w:rsidR="001D08C9" w:rsidRPr="001D08C9">
        <w:rPr>
          <w:b/>
          <w:bCs/>
          <w:lang w:eastAsia="zh-TW"/>
        </w:rPr>
        <w:t xml:space="preserve"> </w:t>
      </w:r>
      <w:r w:rsidR="001D08C9" w:rsidRPr="001D08C9">
        <w:rPr>
          <w:lang w:eastAsia="zh-TW"/>
        </w:rPr>
        <w:t>Several facultative intracellular bacterial pathogens that grow in</w:t>
      </w:r>
      <w:r w:rsidR="001D08C9" w:rsidRPr="001D08C9">
        <w:rPr>
          <w:b/>
          <w:bCs/>
          <w:lang w:eastAsia="zh-TW"/>
        </w:rPr>
        <w:t xml:space="preserve"> </w:t>
      </w:r>
      <w:r w:rsidR="001D08C9" w:rsidRPr="001D08C9">
        <w:rPr>
          <w:lang w:eastAsia="zh-TW"/>
        </w:rPr>
        <w:t>the host cell cytosol have evolved mechanisms to evade autophagic</w:t>
      </w:r>
      <w:r w:rsidR="001D08C9" w:rsidRPr="001D08C9">
        <w:rPr>
          <w:b/>
          <w:bCs/>
          <w:lang w:eastAsia="zh-TW"/>
        </w:rPr>
        <w:t xml:space="preserve"> </w:t>
      </w:r>
      <w:r w:rsidR="001D08C9" w:rsidRPr="001D08C9">
        <w:rPr>
          <w:lang w:eastAsia="zh-TW"/>
        </w:rPr>
        <w:t>recognition</w:t>
      </w:r>
      <w:r w:rsidR="001D08C9" w:rsidRPr="001D08C9">
        <w:rPr>
          <w:b/>
          <w:bCs/>
          <w:lang w:eastAsia="zh-TW"/>
        </w:rPr>
        <w:t xml:space="preserve">. </w:t>
      </w:r>
      <w:r w:rsidR="001D08C9" w:rsidRPr="001D08C9">
        <w:rPr>
          <w:i/>
          <w:iCs/>
          <w:lang w:eastAsia="zh-TW"/>
        </w:rPr>
        <w:t>Rickettsia</w:t>
      </w:r>
      <w:r w:rsidR="001D08C9" w:rsidRPr="001D08C9">
        <w:rPr>
          <w:lang w:eastAsia="zh-TW"/>
        </w:rPr>
        <w:t xml:space="preserve"> are highly adapted to the intracellular environment and thus have probably also evolved mechanisms to evade autophagic recognition</w:t>
      </w:r>
      <w:r w:rsidR="001D08C9" w:rsidRPr="001D08C9">
        <w:rPr>
          <w:b/>
          <w:bCs/>
          <w:lang w:eastAsia="zh-TW"/>
        </w:rPr>
        <w:t xml:space="preserve">. </w:t>
      </w:r>
      <w:r w:rsidR="001D08C9" w:rsidRPr="001D08C9">
        <w:rPr>
          <w:lang w:eastAsia="zh-TW"/>
        </w:rPr>
        <w:t xml:space="preserve">However, the bacterial factors that protect </w:t>
      </w:r>
      <w:r w:rsidR="001D08C9" w:rsidRPr="001D08C9">
        <w:rPr>
          <w:i/>
          <w:iCs/>
          <w:lang w:eastAsia="zh-TW"/>
        </w:rPr>
        <w:t>Rickettsia</w:t>
      </w:r>
      <w:r w:rsidR="001D08C9" w:rsidRPr="001D08C9">
        <w:rPr>
          <w:lang w:eastAsia="zh-TW"/>
        </w:rPr>
        <w:t xml:space="preserve"> from</w:t>
      </w:r>
      <w:r w:rsidR="001D08C9" w:rsidRPr="001D08C9">
        <w:rPr>
          <w:b/>
          <w:bCs/>
          <w:lang w:eastAsia="zh-TW"/>
        </w:rPr>
        <w:t xml:space="preserve"> </w:t>
      </w:r>
      <w:r w:rsidR="001D08C9" w:rsidRPr="001D08C9">
        <w:rPr>
          <w:lang w:eastAsia="zh-TW"/>
        </w:rPr>
        <w:t>the</w:t>
      </w:r>
      <w:r w:rsidR="007E5BEB">
        <w:rPr>
          <w:lang w:eastAsia="zh-TW"/>
        </w:rPr>
        <w:t xml:space="preserve"> </w:t>
      </w:r>
      <w:r w:rsidR="001D08C9" w:rsidRPr="001D08C9">
        <w:rPr>
          <w:lang w:eastAsia="zh-TW"/>
        </w:rPr>
        <w:t>formation of a polyubiquitin coat are unknown.</w:t>
      </w:r>
      <w:r w:rsidR="001D08C9" w:rsidRPr="001D08C9">
        <w:rPr>
          <w:rFonts w:asciiTheme="minorEastAsia" w:hAnsiTheme="minorEastAsia"/>
          <w:lang w:eastAsia="zh-TW"/>
        </w:rPr>
        <w:cr/>
      </w:r>
      <w:r w:rsidR="00EE459A" w:rsidRPr="007E5BEB">
        <w:rPr>
          <w:b/>
          <w:bCs/>
          <w:u w:val="single"/>
        </w:rPr>
        <w:t>Objective/Hypothesis:</w:t>
      </w:r>
    </w:p>
    <w:p w:rsidR="00181F26" w:rsidRPr="00080229" w:rsidRDefault="00EE459A" w:rsidP="00DA1388">
      <w:pPr>
        <w:pStyle w:val="a3"/>
        <w:spacing w:line="320" w:lineRule="exact"/>
        <w:ind w:right="186" w:firstLine="600"/>
        <w:jc w:val="both"/>
        <w:rPr>
          <w:rFonts w:cs="Arial"/>
          <w:lang w:eastAsia="zh-TW"/>
        </w:rPr>
      </w:pPr>
      <w:r w:rsidRPr="00080229">
        <w:rPr>
          <w:rFonts w:cs="Arial"/>
        </w:rPr>
        <w:t>The</w:t>
      </w:r>
      <w:r w:rsidRPr="00080229">
        <w:rPr>
          <w:rFonts w:cs="Arial"/>
          <w:spacing w:val="-2"/>
        </w:rPr>
        <w:t xml:space="preserve"> </w:t>
      </w:r>
      <w:r w:rsidRPr="00080229">
        <w:rPr>
          <w:rFonts w:cs="Arial"/>
        </w:rPr>
        <w:t>authors</w:t>
      </w:r>
      <w:r w:rsidRPr="00080229">
        <w:rPr>
          <w:rFonts w:cs="Arial"/>
          <w:spacing w:val="1"/>
        </w:rPr>
        <w:t xml:space="preserve"> </w:t>
      </w:r>
      <w:r w:rsidR="007F429A" w:rsidRPr="00080229">
        <w:rPr>
          <w:rFonts w:cs="Arial"/>
        </w:rPr>
        <w:t>aimed</w:t>
      </w:r>
      <w:r w:rsidRPr="00080229">
        <w:rPr>
          <w:rFonts w:cs="Arial"/>
          <w:spacing w:val="-2"/>
        </w:rPr>
        <w:t xml:space="preserve"> </w:t>
      </w:r>
      <w:r w:rsidRPr="00080229">
        <w:rPr>
          <w:rFonts w:cs="Arial"/>
        </w:rPr>
        <w:t>to</w:t>
      </w:r>
      <w:r w:rsidRPr="00080229">
        <w:rPr>
          <w:rFonts w:cs="Arial"/>
          <w:spacing w:val="-1"/>
        </w:rPr>
        <w:t xml:space="preserve"> </w:t>
      </w:r>
      <w:r w:rsidR="001D08C9">
        <w:t>understand the role of bacterial proteins</w:t>
      </w:r>
      <w:r w:rsidR="001D3D78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1D3D78">
        <w:t xml:space="preserve">of </w:t>
      </w:r>
      <w:r w:rsidR="001D3D78" w:rsidRPr="001D08C9">
        <w:rPr>
          <w:rFonts w:eastAsiaTheme="minorEastAsia" w:cs="Arial"/>
          <w:i/>
          <w:iCs/>
          <w:spacing w:val="-1"/>
          <w:lang w:eastAsia="zh-TW"/>
        </w:rPr>
        <w:t>Rickettsia</w:t>
      </w:r>
      <w:r w:rsidR="001D08C9">
        <w:t xml:space="preserve"> in shielding against autophagic recognition</w:t>
      </w:r>
      <w:r w:rsidR="00CC272C" w:rsidRPr="00CC272C">
        <w:rPr>
          <w:rFonts w:cs="Arial"/>
        </w:rPr>
        <w:t xml:space="preserve">. </w:t>
      </w:r>
      <w:r w:rsidR="00CC272C" w:rsidRPr="00CC272C">
        <w:t xml:space="preserve"> </w:t>
      </w:r>
    </w:p>
    <w:p w:rsidR="00181F26" w:rsidRPr="00080229" w:rsidRDefault="00EE459A" w:rsidP="00DA1388">
      <w:pPr>
        <w:pStyle w:val="1"/>
        <w:spacing w:before="3" w:line="320" w:lineRule="exact"/>
        <w:jc w:val="both"/>
        <w:rPr>
          <w:rFonts w:cs="Arial"/>
          <w:b w:val="0"/>
          <w:bCs w:val="0"/>
        </w:rPr>
      </w:pPr>
      <w:r w:rsidRPr="00080229">
        <w:rPr>
          <w:rFonts w:cs="Arial"/>
          <w:spacing w:val="-1"/>
        </w:rPr>
        <w:t>Results:</w:t>
      </w:r>
    </w:p>
    <w:p w:rsidR="00181F26" w:rsidRPr="0013171B" w:rsidRDefault="00E615D8" w:rsidP="007E5BEB">
      <w:pPr>
        <w:pStyle w:val="a3"/>
        <w:spacing w:line="320" w:lineRule="exact"/>
        <w:ind w:left="119" w:right="249" w:firstLine="601"/>
        <w:jc w:val="both"/>
        <w:rPr>
          <w:rFonts w:eastAsia="新細明體" w:cs="Arial"/>
          <w:lang w:eastAsia="zh-TW"/>
        </w:rPr>
      </w:pPr>
      <w:r w:rsidRPr="00E615D8">
        <w:rPr>
          <w:rFonts w:eastAsiaTheme="minorEastAsia" w:cs="Arial"/>
          <w:lang w:eastAsia="zh-TW"/>
        </w:rPr>
        <w:t>T</w:t>
      </w:r>
      <w:r w:rsidRPr="00E615D8">
        <w:rPr>
          <w:rFonts w:eastAsia="新細明體" w:cs="Arial"/>
          <w:lang w:eastAsia="zh-TW"/>
        </w:rPr>
        <w:t>he author</w:t>
      </w:r>
      <w:r w:rsidRPr="00E615D8">
        <w:rPr>
          <w:rFonts w:ascii="新細明體" w:eastAsia="新細明體" w:hAnsi="新細明體" w:cs="新細明體"/>
          <w:b/>
          <w:lang w:eastAsia="zh-TW"/>
        </w:rPr>
        <w:t xml:space="preserve"> </w:t>
      </w:r>
      <w:r w:rsidR="001D3D78">
        <w:t>assessed strains with transposon (tn) mutations in ompA, ompB, sca2 and hrtA (encoding the 17-kDa antigen)</w:t>
      </w:r>
      <w:r w:rsidR="00762C5A">
        <w:rPr>
          <w:rFonts w:cs="Arial"/>
        </w:rPr>
        <w:t>.</w:t>
      </w:r>
      <w:r w:rsidR="000636A2" w:rsidRPr="000636A2">
        <w:t xml:space="preserve"> </w:t>
      </w:r>
      <w:r w:rsidR="008A0867">
        <w:t xml:space="preserve">They found that </w:t>
      </w:r>
      <w:r w:rsidR="008A0867" w:rsidRPr="007E5BEB">
        <w:rPr>
          <w:i/>
          <w:iCs/>
        </w:rPr>
        <w:t>R. parkeri</w:t>
      </w:r>
      <w:r w:rsidR="008A0867" w:rsidRPr="008A0867">
        <w:t xml:space="preserve"> </w:t>
      </w:r>
      <w:r w:rsidR="008A0867">
        <w:t>requires OmpB, but not Sca2-mediated actin mobilization, to avoid polyubiquitylation</w:t>
      </w:r>
      <w:r w:rsidR="008A0867">
        <w:t>.</w:t>
      </w:r>
      <w:r w:rsidR="0023366B">
        <w:rPr>
          <w:rFonts w:cs="Arial"/>
        </w:rPr>
        <w:t xml:space="preserve"> </w:t>
      </w:r>
      <w:r w:rsidR="0023366B">
        <w:t>Once in the cytosol, ompB</w:t>
      </w:r>
      <w:r w:rsidR="0023366B" w:rsidRPr="007E5BEB">
        <w:rPr>
          <w:vertAlign w:val="superscript"/>
        </w:rPr>
        <w:t>STOP</w:t>
      </w:r>
      <w:r w:rsidR="0023366B">
        <w:t>::tn bacteria exhibited increased association with membranes resembling phagophores, which localized near one bacterial pole or partly surrounding bacteria</w:t>
      </w:r>
      <w:r w:rsidR="0023366B">
        <w:t>.</w:t>
      </w:r>
      <w:r w:rsidR="0023366B" w:rsidRPr="0023366B">
        <w:t xml:space="preserve"> </w:t>
      </w:r>
      <w:r w:rsidR="0023366B">
        <w:t>However, ompB</w:t>
      </w:r>
      <w:r w:rsidR="0023366B" w:rsidRPr="0023366B">
        <w:rPr>
          <w:vertAlign w:val="superscript"/>
        </w:rPr>
        <w:t>STOP</w:t>
      </w:r>
      <w:r w:rsidR="0023366B">
        <w:t>::tn and WT bacteria were comparable in their relatively rare localization within double-membrane vacuoles or electron-dense lysosomal compartments at 1</w:t>
      </w:r>
      <w:r w:rsidR="0023366B" w:rsidRPr="0023366B">
        <w:t xml:space="preserve"> </w:t>
      </w:r>
      <w:r w:rsidR="0023366B">
        <w:t>hour</w:t>
      </w:r>
      <w:r w:rsidR="0023366B">
        <w:t xml:space="preserve"> post infection</w:t>
      </w:r>
      <w:r w:rsidR="0023366B">
        <w:t xml:space="preserve"> and </w:t>
      </w:r>
      <w:r w:rsidR="0023366B">
        <w:t>OmpB is required for the formation of this halo</w:t>
      </w:r>
      <w:r w:rsidR="0023366B">
        <w:t xml:space="preserve">. They </w:t>
      </w:r>
      <w:r w:rsidR="0023366B">
        <w:t>developed an approach that combined polyubiquitin enrichment from the surface fraction of bacteria with mass spectrometry to detect Lys-diGly (diGly) remnants, a signature for ubiquitin</w:t>
      </w:r>
      <w:r w:rsidR="0013171B">
        <w:t>.</w:t>
      </w:r>
      <w:r w:rsidR="0013171B" w:rsidRPr="0013171B">
        <w:t xml:space="preserve"> </w:t>
      </w:r>
      <w:r w:rsidR="0013171B">
        <w:t xml:space="preserve">However, </w:t>
      </w:r>
      <w:r w:rsidR="0013171B">
        <w:t>they</w:t>
      </w:r>
      <w:r w:rsidR="0013171B">
        <w:t xml:space="preserve"> identified a bacterial peptide of OmpA with diGly remnants that was consistently enriched in fractions from ompB</w:t>
      </w:r>
      <w:r w:rsidR="0013171B" w:rsidRPr="007E5BEB">
        <w:rPr>
          <w:vertAlign w:val="superscript"/>
        </w:rPr>
        <w:t>STOP</w:t>
      </w:r>
      <w:r w:rsidR="0013171B">
        <w:t>::tn bacteria</w:t>
      </w:r>
      <w:r w:rsidR="0013171B">
        <w:t xml:space="preserve"> and </w:t>
      </w:r>
      <w:r w:rsidR="0013171B">
        <w:t>OmpA was detected in His</w:t>
      </w:r>
      <w:r w:rsidR="004142EB">
        <w:t>-</w:t>
      </w:r>
      <w:bookmarkStart w:id="0" w:name="_GoBack"/>
      <w:bookmarkEnd w:id="0"/>
      <w:r w:rsidR="0013171B">
        <w:t>ubiquitin-enriched fractions from ompB</w:t>
      </w:r>
      <w:r w:rsidR="0013171B" w:rsidRPr="007E5BEB">
        <w:rPr>
          <w:vertAlign w:val="superscript"/>
        </w:rPr>
        <w:t>STOP</w:t>
      </w:r>
      <w:r w:rsidR="0013171B">
        <w:t>::tn but not WT bacteria</w:t>
      </w:r>
      <w:r w:rsidR="0013171B">
        <w:t xml:space="preserve">. And then they </w:t>
      </w:r>
      <w:r w:rsidR="0013171B">
        <w:t>infected both HMECs and BMDMs, and then stained for the autophagic receptors p62 and NDP52</w:t>
      </w:r>
      <w:r w:rsidR="0013171B">
        <w:t xml:space="preserve"> and found that m</w:t>
      </w:r>
      <w:r w:rsidR="0013171B">
        <w:t>ore than 30% of ompB</w:t>
      </w:r>
      <w:r w:rsidR="0013171B" w:rsidRPr="007E5BEB">
        <w:rPr>
          <w:vertAlign w:val="superscript"/>
        </w:rPr>
        <w:t>STOP</w:t>
      </w:r>
      <w:r w:rsidR="0013171B">
        <w:t>::tn bacteria colocalized with p62 and NDP52 at 1h.p.i. in both cell types and in HMECs at 72h.p.i.</w:t>
      </w:r>
      <w:r w:rsidR="0013171B">
        <w:rPr>
          <w:rFonts w:eastAsiaTheme="minorEastAsia" w:cs="Arial" w:hint="cs"/>
          <w:lang w:eastAsia="zh-TW"/>
        </w:rPr>
        <w:t xml:space="preserve"> </w:t>
      </w:r>
      <w:r w:rsidR="0013171B">
        <w:rPr>
          <w:rFonts w:eastAsiaTheme="minorEastAsia" w:cs="Arial"/>
          <w:lang w:eastAsia="zh-TW"/>
        </w:rPr>
        <w:t xml:space="preserve">In vivo, they </w:t>
      </w:r>
      <w:r w:rsidR="0013171B">
        <w:t>infected C57BL/6 mice with WT or ompB</w:t>
      </w:r>
      <w:r w:rsidR="0013171B" w:rsidRPr="007E5BEB">
        <w:rPr>
          <w:vertAlign w:val="superscript"/>
        </w:rPr>
        <w:t>STOP</w:t>
      </w:r>
      <w:r w:rsidR="0013171B">
        <w:t>::tn bacteria</w:t>
      </w:r>
      <w:r w:rsidR="0013171B">
        <w:t xml:space="preserve">, but they </w:t>
      </w:r>
      <w:r w:rsidR="0013171B">
        <w:t>were unable to recover any ompB</w:t>
      </w:r>
      <w:r w:rsidR="0013171B" w:rsidRPr="007E5BEB">
        <w:rPr>
          <w:vertAlign w:val="superscript"/>
        </w:rPr>
        <w:t>STOP</w:t>
      </w:r>
      <w:r w:rsidR="0013171B">
        <w:t>::tn bacteria from any organ within the window of 2 to 72h.p.i.</w:t>
      </w:r>
    </w:p>
    <w:p w:rsidR="00181F26" w:rsidRPr="00080229" w:rsidRDefault="00EE459A" w:rsidP="00DA1388">
      <w:pPr>
        <w:pStyle w:val="1"/>
        <w:spacing w:line="320" w:lineRule="exact"/>
        <w:jc w:val="both"/>
        <w:rPr>
          <w:rFonts w:cs="Arial"/>
          <w:b w:val="0"/>
          <w:bCs w:val="0"/>
        </w:rPr>
      </w:pPr>
      <w:r w:rsidRPr="00080229">
        <w:rPr>
          <w:rFonts w:cs="Arial"/>
          <w:spacing w:val="-1"/>
        </w:rPr>
        <w:t>Conclusion:</w:t>
      </w:r>
    </w:p>
    <w:p w:rsidR="00367994" w:rsidRDefault="00367994" w:rsidP="007E5BEB">
      <w:pPr>
        <w:pStyle w:val="a3"/>
        <w:rPr>
          <w:b/>
          <w:bCs/>
        </w:rPr>
      </w:pPr>
      <w:r w:rsidRPr="00367994">
        <w:t xml:space="preserve">The results of this study have revealed </w:t>
      </w:r>
      <w:r w:rsidR="007E5BEB" w:rsidRPr="007E5BEB">
        <w:t>OmpB acts as a protective shield</w:t>
      </w:r>
      <w:r w:rsidR="007E5BEB">
        <w:rPr>
          <w:b/>
          <w:bCs/>
        </w:rPr>
        <w:t xml:space="preserve"> </w:t>
      </w:r>
      <w:r w:rsidR="007E5BEB" w:rsidRPr="007E5BEB">
        <w:t>to inhibit antimicrobial autophagy and as a critical virulence factor</w:t>
      </w:r>
      <w:r w:rsidR="007E5BEB">
        <w:rPr>
          <w:b/>
          <w:bCs/>
        </w:rPr>
        <w:t xml:space="preserve"> </w:t>
      </w:r>
      <w:r w:rsidR="007E5BEB" w:rsidRPr="007E5BEB">
        <w:t xml:space="preserve">in </w:t>
      </w:r>
      <w:r w:rsidR="007E5BEB" w:rsidRPr="007E5BEB">
        <w:rPr>
          <w:i/>
          <w:iCs/>
        </w:rPr>
        <w:t>Rickettsia</w:t>
      </w:r>
      <w:r w:rsidR="007E5BEB" w:rsidRPr="007E5BEB">
        <w:t xml:space="preserve"> pathogenesis.</w:t>
      </w:r>
    </w:p>
    <w:p w:rsidR="00181F26" w:rsidRPr="00080229" w:rsidRDefault="00EE459A" w:rsidP="00DA1388">
      <w:pPr>
        <w:pStyle w:val="1"/>
        <w:spacing w:line="320" w:lineRule="exact"/>
        <w:jc w:val="both"/>
        <w:rPr>
          <w:rFonts w:cs="Arial"/>
          <w:b w:val="0"/>
          <w:bCs w:val="0"/>
        </w:rPr>
      </w:pPr>
      <w:r w:rsidRPr="00080229">
        <w:rPr>
          <w:rFonts w:cs="Arial"/>
          <w:spacing w:val="-1"/>
        </w:rPr>
        <w:t>References:</w:t>
      </w:r>
    </w:p>
    <w:p w:rsidR="00181F26" w:rsidRPr="00367994" w:rsidRDefault="007E5BEB" w:rsidP="007E5BEB">
      <w:pPr>
        <w:pStyle w:val="a3"/>
        <w:numPr>
          <w:ilvl w:val="0"/>
          <w:numId w:val="4"/>
        </w:numPr>
        <w:tabs>
          <w:tab w:val="left" w:pos="368"/>
        </w:tabs>
        <w:spacing w:before="3" w:line="320" w:lineRule="exact"/>
        <w:ind w:right="169"/>
        <w:jc w:val="both"/>
        <w:rPr>
          <w:rFonts w:cs="Arial"/>
          <w:sz w:val="18"/>
        </w:rPr>
      </w:pPr>
      <w:r w:rsidRPr="007E5BEB">
        <w:rPr>
          <w:rFonts w:cs="Arial"/>
          <w:sz w:val="18"/>
        </w:rPr>
        <w:t>Galluzzi, L. et al. Molecular defnitions of autophagy and related processes. EMBO J. 36, 1811–1836 (2017).</w:t>
      </w:r>
    </w:p>
    <w:sectPr w:rsidR="00181F26" w:rsidRPr="00367994">
      <w:type w:val="continuous"/>
      <w:pgSz w:w="11910" w:h="16840"/>
      <w:pgMar w:top="14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4C2" w:rsidRDefault="007214C2" w:rsidP="00835963">
      <w:r>
        <w:separator/>
      </w:r>
    </w:p>
  </w:endnote>
  <w:endnote w:type="continuationSeparator" w:id="0">
    <w:p w:rsidR="007214C2" w:rsidRDefault="007214C2" w:rsidP="008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4C2" w:rsidRDefault="007214C2" w:rsidP="00835963">
      <w:r>
        <w:separator/>
      </w:r>
    </w:p>
  </w:footnote>
  <w:footnote w:type="continuationSeparator" w:id="0">
    <w:p w:rsidR="007214C2" w:rsidRDefault="007214C2" w:rsidP="0083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89"/>
    <w:multiLevelType w:val="hybridMultilevel"/>
    <w:tmpl w:val="AD6C999E"/>
    <w:lvl w:ilvl="0" w:tplc="C18835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15A5316"/>
    <w:multiLevelType w:val="hybridMultilevel"/>
    <w:tmpl w:val="FB20A456"/>
    <w:lvl w:ilvl="0" w:tplc="EA94B0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B8E7174"/>
    <w:multiLevelType w:val="hybridMultilevel"/>
    <w:tmpl w:val="E79623C4"/>
    <w:lvl w:ilvl="0" w:tplc="34CE25D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ind w:left="4919" w:hanging="480"/>
      </w:pPr>
    </w:lvl>
  </w:abstractNum>
  <w:abstractNum w:abstractNumId="3" w15:restartNumberingAfterBreak="0">
    <w:nsid w:val="733B6750"/>
    <w:multiLevelType w:val="hybridMultilevel"/>
    <w:tmpl w:val="5F7EF912"/>
    <w:lvl w:ilvl="0" w:tplc="E586E3C4">
      <w:start w:val="1"/>
      <w:numFmt w:val="decimal"/>
      <w:lvlText w:val="%1."/>
      <w:lvlJc w:val="left"/>
      <w:pPr>
        <w:ind w:left="120" w:hanging="248"/>
      </w:pPr>
      <w:rPr>
        <w:rFonts w:ascii="Arial" w:eastAsia="Arial" w:hAnsi="Arial" w:hint="default"/>
        <w:sz w:val="22"/>
        <w:szCs w:val="22"/>
      </w:rPr>
    </w:lvl>
    <w:lvl w:ilvl="1" w:tplc="6F1046AA">
      <w:start w:val="1"/>
      <w:numFmt w:val="bullet"/>
      <w:lvlText w:val="•"/>
      <w:lvlJc w:val="left"/>
      <w:pPr>
        <w:ind w:left="963" w:hanging="248"/>
      </w:pPr>
      <w:rPr>
        <w:rFonts w:hint="default"/>
      </w:rPr>
    </w:lvl>
    <w:lvl w:ilvl="2" w:tplc="4A88C492">
      <w:start w:val="1"/>
      <w:numFmt w:val="bullet"/>
      <w:lvlText w:val="•"/>
      <w:lvlJc w:val="left"/>
      <w:pPr>
        <w:ind w:left="1805" w:hanging="248"/>
      </w:pPr>
      <w:rPr>
        <w:rFonts w:hint="default"/>
      </w:rPr>
    </w:lvl>
    <w:lvl w:ilvl="3" w:tplc="9C4ED950">
      <w:start w:val="1"/>
      <w:numFmt w:val="bullet"/>
      <w:lvlText w:val="•"/>
      <w:lvlJc w:val="left"/>
      <w:pPr>
        <w:ind w:left="2648" w:hanging="248"/>
      </w:pPr>
      <w:rPr>
        <w:rFonts w:hint="default"/>
      </w:rPr>
    </w:lvl>
    <w:lvl w:ilvl="4" w:tplc="90929278">
      <w:start w:val="1"/>
      <w:numFmt w:val="bullet"/>
      <w:lvlText w:val="•"/>
      <w:lvlJc w:val="left"/>
      <w:pPr>
        <w:ind w:left="3490" w:hanging="248"/>
      </w:pPr>
      <w:rPr>
        <w:rFonts w:hint="default"/>
      </w:rPr>
    </w:lvl>
    <w:lvl w:ilvl="5" w:tplc="6C66132A">
      <w:start w:val="1"/>
      <w:numFmt w:val="bullet"/>
      <w:lvlText w:val="•"/>
      <w:lvlJc w:val="left"/>
      <w:pPr>
        <w:ind w:left="4333" w:hanging="248"/>
      </w:pPr>
      <w:rPr>
        <w:rFonts w:hint="default"/>
      </w:rPr>
    </w:lvl>
    <w:lvl w:ilvl="6" w:tplc="874ABDFE">
      <w:start w:val="1"/>
      <w:numFmt w:val="bullet"/>
      <w:lvlText w:val="•"/>
      <w:lvlJc w:val="left"/>
      <w:pPr>
        <w:ind w:left="5176" w:hanging="248"/>
      </w:pPr>
      <w:rPr>
        <w:rFonts w:hint="default"/>
      </w:rPr>
    </w:lvl>
    <w:lvl w:ilvl="7" w:tplc="60BA54F4">
      <w:start w:val="1"/>
      <w:numFmt w:val="bullet"/>
      <w:lvlText w:val="•"/>
      <w:lvlJc w:val="left"/>
      <w:pPr>
        <w:ind w:left="6018" w:hanging="248"/>
      </w:pPr>
      <w:rPr>
        <w:rFonts w:hint="default"/>
      </w:rPr>
    </w:lvl>
    <w:lvl w:ilvl="8" w:tplc="A14E9758">
      <w:start w:val="1"/>
      <w:numFmt w:val="bullet"/>
      <w:lvlText w:val="•"/>
      <w:lvlJc w:val="left"/>
      <w:pPr>
        <w:ind w:left="6861" w:hanging="2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26"/>
    <w:rsid w:val="00003A4B"/>
    <w:rsid w:val="000636A2"/>
    <w:rsid w:val="00080229"/>
    <w:rsid w:val="000C4F9D"/>
    <w:rsid w:val="0013171B"/>
    <w:rsid w:val="00181F26"/>
    <w:rsid w:val="001D08C9"/>
    <w:rsid w:val="001D3D78"/>
    <w:rsid w:val="00223642"/>
    <w:rsid w:val="0023366B"/>
    <w:rsid w:val="002356D4"/>
    <w:rsid w:val="00266467"/>
    <w:rsid w:val="002B5140"/>
    <w:rsid w:val="00340DA3"/>
    <w:rsid w:val="00367994"/>
    <w:rsid w:val="00380BEF"/>
    <w:rsid w:val="003C1D20"/>
    <w:rsid w:val="003C2E6E"/>
    <w:rsid w:val="003E74E4"/>
    <w:rsid w:val="003F1E7A"/>
    <w:rsid w:val="00400C50"/>
    <w:rsid w:val="004142EB"/>
    <w:rsid w:val="00425F6E"/>
    <w:rsid w:val="00467211"/>
    <w:rsid w:val="00474403"/>
    <w:rsid w:val="004941C3"/>
    <w:rsid w:val="005952DC"/>
    <w:rsid w:val="00645797"/>
    <w:rsid w:val="00693771"/>
    <w:rsid w:val="006B3B7D"/>
    <w:rsid w:val="007122E1"/>
    <w:rsid w:val="007214C2"/>
    <w:rsid w:val="00762C5A"/>
    <w:rsid w:val="007C22E1"/>
    <w:rsid w:val="007C44F1"/>
    <w:rsid w:val="007E5BEB"/>
    <w:rsid w:val="007F429A"/>
    <w:rsid w:val="00835963"/>
    <w:rsid w:val="00865A6F"/>
    <w:rsid w:val="00887518"/>
    <w:rsid w:val="008A0867"/>
    <w:rsid w:val="009A0B12"/>
    <w:rsid w:val="00A434E7"/>
    <w:rsid w:val="00AA4F32"/>
    <w:rsid w:val="00AF19B9"/>
    <w:rsid w:val="00B368A8"/>
    <w:rsid w:val="00B97CAF"/>
    <w:rsid w:val="00CC272C"/>
    <w:rsid w:val="00CF6082"/>
    <w:rsid w:val="00DA1388"/>
    <w:rsid w:val="00DA4222"/>
    <w:rsid w:val="00E615D8"/>
    <w:rsid w:val="00EB4964"/>
    <w:rsid w:val="00EC035B"/>
    <w:rsid w:val="00EE459A"/>
    <w:rsid w:val="00F243DF"/>
    <w:rsid w:val="00F353A0"/>
    <w:rsid w:val="00FA2E7F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5464"/>
  <w15:docId w15:val="{E2D651C6-ECF6-4AB2-873A-F61D9EA9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"/>
      <w:ind w:left="120"/>
      <w:outlineLvl w:val="0"/>
    </w:pPr>
    <w:rPr>
      <w:rFonts w:ascii="Arial" w:eastAsia="Arial" w:hAnsi="Arial"/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15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4"/>
      <w:ind w:left="120" w:firstLine="479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59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5963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E615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秉錩 楊</dc:creator>
  <cp:lastModifiedBy>秉錩 楊</cp:lastModifiedBy>
  <cp:revision>6</cp:revision>
  <dcterms:created xsi:type="dcterms:W3CDTF">2020-02-26T07:16:00Z</dcterms:created>
  <dcterms:modified xsi:type="dcterms:W3CDTF">2020-02-27T06:51:00Z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2018-12-15T00:00:00Z</vt:filetime>
  </property>
</Properties>
</file>